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5FC" w:rsidRDefault="00B52191" w:rsidP="008805FC">
      <w:pPr>
        <w:autoSpaceDE w:val="0"/>
        <w:autoSpaceDN w:val="0"/>
        <w:adjustRightInd w:val="0"/>
        <w:spacing w:after="0" w:line="360" w:lineRule="auto"/>
        <w:ind w:firstLine="680"/>
        <w:jc w:val="both"/>
        <w:rPr>
          <w:rFonts w:ascii="Times New Roman" w:hAnsi="Times New Roman"/>
        </w:rPr>
      </w:pPr>
      <w:r w:rsidRPr="00921CF6">
        <w:rPr>
          <w:rFonts w:ascii="Times New Roman" w:hAnsi="Times New Roman"/>
          <w:b/>
          <w:bCs/>
          <w:sz w:val="28"/>
          <w:szCs w:val="28"/>
        </w:rPr>
        <w:t>Yetkilendirilmiş Yükümlü Statüsü</w:t>
      </w:r>
      <w:r w:rsidR="008805FC" w:rsidRPr="008805FC">
        <w:rPr>
          <w:rFonts w:ascii="Times New Roman" w:hAnsi="Times New Roman"/>
        </w:rPr>
        <w:t xml:space="preserve"> </w:t>
      </w:r>
    </w:p>
    <w:p w:rsidR="008805FC" w:rsidRDefault="008805FC" w:rsidP="008805FC">
      <w:pPr>
        <w:autoSpaceDE w:val="0"/>
        <w:autoSpaceDN w:val="0"/>
        <w:adjustRightInd w:val="0"/>
        <w:spacing w:after="0" w:line="360" w:lineRule="auto"/>
        <w:ind w:firstLine="680"/>
        <w:jc w:val="both"/>
        <w:rPr>
          <w:rFonts w:ascii="Times New Roman" w:hAnsi="Times New Roman"/>
        </w:rPr>
      </w:pPr>
    </w:p>
    <w:p w:rsidR="008805FC" w:rsidRPr="00921CF6" w:rsidRDefault="008805FC" w:rsidP="008805FC">
      <w:pPr>
        <w:autoSpaceDE w:val="0"/>
        <w:autoSpaceDN w:val="0"/>
        <w:adjustRightInd w:val="0"/>
        <w:spacing w:after="0" w:line="360" w:lineRule="auto"/>
        <w:ind w:firstLine="680"/>
        <w:jc w:val="both"/>
        <w:rPr>
          <w:rFonts w:ascii="Times New Roman" w:hAnsi="Times New Roman"/>
          <w:b/>
          <w:bCs/>
        </w:rPr>
      </w:pPr>
      <w:r w:rsidRPr="00921CF6">
        <w:rPr>
          <w:rFonts w:ascii="Times New Roman" w:hAnsi="Times New Roman"/>
        </w:rPr>
        <w:t>Yetkilendirilmiş yükümlü, gümrük yükümlülüklerini yerine getiren, kayıt sistemi düzenli ve</w:t>
      </w:r>
      <w:r w:rsidRPr="00921CF6">
        <w:rPr>
          <w:rFonts w:ascii="Times New Roman" w:hAnsi="Times New Roman"/>
          <w:b/>
          <w:bCs/>
        </w:rPr>
        <w:t xml:space="preserve"> </w:t>
      </w:r>
      <w:r w:rsidRPr="00921CF6">
        <w:rPr>
          <w:rFonts w:ascii="Times New Roman" w:hAnsi="Times New Roman"/>
        </w:rPr>
        <w:t xml:space="preserve">izlenebilir olan, mali yeterlilik, emniyet ve güvenlik standartlarına sahip bulunan, kendi oto kontrolünü yapabilen güvenilir firmalara gümrük işlemlerinde birtakım kolaylık ve imtiyazlar sağlayan uluslar arası bir statü olarak tanımlanmaktadır. </w:t>
      </w:r>
      <w:r>
        <w:rPr>
          <w:rFonts w:ascii="Times New Roman" w:hAnsi="Times New Roman"/>
        </w:rPr>
        <w:t>21.05.</w:t>
      </w:r>
      <w:r w:rsidRPr="00921CF6">
        <w:rPr>
          <w:rFonts w:ascii="Times New Roman" w:hAnsi="Times New Roman"/>
        </w:rPr>
        <w:t>201</w:t>
      </w:r>
      <w:r>
        <w:rPr>
          <w:rFonts w:ascii="Times New Roman" w:hAnsi="Times New Roman"/>
        </w:rPr>
        <w:t>4</w:t>
      </w:r>
      <w:r w:rsidRPr="00921CF6">
        <w:rPr>
          <w:rFonts w:ascii="Times New Roman" w:hAnsi="Times New Roman"/>
        </w:rPr>
        <w:t xml:space="preserve"> tarih</w:t>
      </w:r>
      <w:r>
        <w:rPr>
          <w:rFonts w:ascii="Times New Roman" w:hAnsi="Times New Roman"/>
        </w:rPr>
        <w:t>li</w:t>
      </w:r>
      <w:r w:rsidRPr="00921CF6">
        <w:rPr>
          <w:rFonts w:ascii="Times New Roman" w:hAnsi="Times New Roman"/>
        </w:rPr>
        <w:t xml:space="preserve"> Resmi Gazetede yayımlanmış bulunan “Gümrük İşlemlerinin Kolaylaştırılması Yönetmeliği”, </w:t>
      </w:r>
      <w:r>
        <w:rPr>
          <w:rFonts w:ascii="Times New Roman" w:hAnsi="Times New Roman"/>
        </w:rPr>
        <w:t>aşağıda</w:t>
      </w:r>
      <w:r w:rsidRPr="00921CF6">
        <w:rPr>
          <w:rFonts w:ascii="Times New Roman" w:hAnsi="Times New Roman"/>
        </w:rPr>
        <w:t xml:space="preserve"> ana hatlarıyla belirtilen yetkilendirilmiş yükümlü statüsü için gereken koşulları, başvuruda aranacak belgeleri, sertifikanın verilmesi, süresi, yenilenmesi, değiştirilmesi, askıya alınması, geri alınması ve</w:t>
      </w:r>
      <w:r w:rsidRPr="00921CF6">
        <w:rPr>
          <w:rFonts w:ascii="Times New Roman" w:hAnsi="Times New Roman"/>
          <w:b/>
          <w:bCs/>
        </w:rPr>
        <w:t xml:space="preserve"> </w:t>
      </w:r>
      <w:r w:rsidRPr="00921CF6">
        <w:rPr>
          <w:rFonts w:ascii="Times New Roman" w:hAnsi="Times New Roman"/>
        </w:rPr>
        <w:t>iptali ile bu sertifika kapsamında faydalanılacak izinli gönderici, onaylanmış ihracatçı,</w:t>
      </w:r>
      <w:r>
        <w:rPr>
          <w:rFonts w:ascii="Times New Roman" w:hAnsi="Times New Roman"/>
        </w:rPr>
        <w:t>ithalatta yerinde gümrükleme</w:t>
      </w:r>
      <w:r w:rsidRPr="00921CF6">
        <w:rPr>
          <w:rFonts w:ascii="Times New Roman" w:hAnsi="Times New Roman"/>
        </w:rPr>
        <w:t xml:space="preserve"> eksik beyan, kısmi teminat, götürü teminat uygulamaları ve emniyet ve güvenlik yönlü kolaylaştırmalar ile bu uygulama ve kolaylaştırmalardan faydalanma yetkilerinin askıya alınması, geri alınması ve iptali ile gümrük mevzuatından kaynaklanan diğer basitleştirilmiş uygulamalara ilişkin usul ve esasları belirlemektedir.</w:t>
      </w:r>
    </w:p>
    <w:p w:rsidR="008805FC" w:rsidRPr="00921CF6" w:rsidRDefault="008805FC" w:rsidP="008805FC">
      <w:pPr>
        <w:autoSpaceDE w:val="0"/>
        <w:autoSpaceDN w:val="0"/>
        <w:adjustRightInd w:val="0"/>
        <w:spacing w:after="0" w:line="360" w:lineRule="auto"/>
        <w:jc w:val="both"/>
        <w:rPr>
          <w:rFonts w:ascii="Times New Roman" w:hAnsi="Times New Roman"/>
        </w:rPr>
      </w:pPr>
    </w:p>
    <w:p w:rsidR="008805FC" w:rsidRPr="00921CF6" w:rsidRDefault="008805FC" w:rsidP="008805FC">
      <w:pPr>
        <w:autoSpaceDE w:val="0"/>
        <w:autoSpaceDN w:val="0"/>
        <w:adjustRightInd w:val="0"/>
        <w:spacing w:after="0" w:line="360" w:lineRule="auto"/>
        <w:jc w:val="both"/>
        <w:rPr>
          <w:rFonts w:ascii="Times New Roman" w:hAnsi="Times New Roman"/>
          <w:color w:val="FF0000"/>
        </w:rPr>
      </w:pPr>
      <w:r w:rsidRPr="00921CF6">
        <w:rPr>
          <w:rFonts w:ascii="Times New Roman" w:hAnsi="Times New Roman"/>
          <w:color w:val="FF0000"/>
        </w:rPr>
        <w:t>Bu düzenlemeler;</w:t>
      </w:r>
    </w:p>
    <w:p w:rsidR="008805FC" w:rsidRPr="00921CF6" w:rsidRDefault="008805FC" w:rsidP="008805FC">
      <w:pPr>
        <w:autoSpaceDE w:val="0"/>
        <w:autoSpaceDN w:val="0"/>
        <w:adjustRightInd w:val="0"/>
        <w:spacing w:after="0" w:line="360" w:lineRule="auto"/>
        <w:jc w:val="both"/>
        <w:rPr>
          <w:rFonts w:ascii="Times New Roman" w:hAnsi="Times New Roman"/>
          <w:color w:val="FF0000"/>
        </w:rPr>
      </w:pPr>
    </w:p>
    <w:p w:rsidR="008805FC" w:rsidRPr="00921CF6" w:rsidRDefault="008805FC" w:rsidP="008805FC">
      <w:pPr>
        <w:autoSpaceDE w:val="0"/>
        <w:autoSpaceDN w:val="0"/>
        <w:adjustRightInd w:val="0"/>
        <w:spacing w:after="0" w:line="360" w:lineRule="auto"/>
        <w:ind w:firstLine="680"/>
        <w:jc w:val="both"/>
        <w:rPr>
          <w:rFonts w:ascii="Times New Roman" w:hAnsi="Times New Roman"/>
          <w:color w:val="FF0000"/>
        </w:rPr>
      </w:pPr>
      <w:r w:rsidRPr="00921CF6">
        <w:rPr>
          <w:rFonts w:ascii="Times New Roman" w:hAnsi="Times New Roman"/>
          <w:color w:val="FF0000"/>
        </w:rPr>
        <w:t xml:space="preserve">Serbest bölgeler dâhil olmak üzere, Türkiye Gümrük Bölgesinde yerleşik ve en az üç yıldır faaliyette bulunan gerçek veya tüzel kişiler ile kamu kurum ve kuruluşlarına gümrük mevzuatının öngördüğü basitleştirilmiş uygulamalardan ve Türkiye Gümrük Bölgesine eşya giriş ve çıkışı sırasında yapılan emniyet ve güvenlik kontrollerine ilişkin kolaylaştırmalardan yararlanmak üzere yetkilendirilmiş yükümlü statüsü tanınır. </w:t>
      </w:r>
    </w:p>
    <w:p w:rsidR="008805FC" w:rsidRPr="00921CF6" w:rsidRDefault="008805FC" w:rsidP="008805FC">
      <w:pPr>
        <w:autoSpaceDE w:val="0"/>
        <w:autoSpaceDN w:val="0"/>
        <w:adjustRightInd w:val="0"/>
        <w:spacing w:after="0" w:line="360" w:lineRule="auto"/>
        <w:jc w:val="both"/>
        <w:rPr>
          <w:rFonts w:ascii="Times New Roman" w:hAnsi="Times New Roman"/>
        </w:rPr>
      </w:pPr>
    </w:p>
    <w:p w:rsidR="008805FC" w:rsidRPr="00921CF6" w:rsidRDefault="008805FC" w:rsidP="008805FC">
      <w:pPr>
        <w:autoSpaceDE w:val="0"/>
        <w:autoSpaceDN w:val="0"/>
        <w:adjustRightInd w:val="0"/>
        <w:spacing w:after="0" w:line="360" w:lineRule="auto"/>
        <w:jc w:val="both"/>
        <w:rPr>
          <w:rFonts w:ascii="Times New Roman" w:hAnsi="Times New Roman"/>
          <w:sz w:val="24"/>
          <w:szCs w:val="24"/>
        </w:rPr>
      </w:pPr>
    </w:p>
    <w:p w:rsidR="00B52191" w:rsidRDefault="00B52191" w:rsidP="00B52191">
      <w:pPr>
        <w:autoSpaceDE w:val="0"/>
        <w:autoSpaceDN w:val="0"/>
        <w:adjustRightInd w:val="0"/>
        <w:spacing w:after="0" w:line="360" w:lineRule="auto"/>
        <w:jc w:val="center"/>
        <w:rPr>
          <w:rFonts w:ascii="Times New Roman" w:hAnsi="Times New Roman"/>
          <w:b/>
          <w:bCs/>
          <w:sz w:val="28"/>
          <w:szCs w:val="28"/>
        </w:rPr>
      </w:pPr>
    </w:p>
    <w:p w:rsidR="008805FC" w:rsidRDefault="008805FC" w:rsidP="00B52191">
      <w:pPr>
        <w:autoSpaceDE w:val="0"/>
        <w:autoSpaceDN w:val="0"/>
        <w:adjustRightInd w:val="0"/>
        <w:spacing w:after="0" w:line="360" w:lineRule="auto"/>
        <w:jc w:val="center"/>
        <w:rPr>
          <w:rFonts w:ascii="Times New Roman" w:hAnsi="Times New Roman"/>
          <w:b/>
          <w:bCs/>
          <w:sz w:val="28"/>
          <w:szCs w:val="28"/>
        </w:rPr>
      </w:pPr>
    </w:p>
    <w:p w:rsidR="008805FC" w:rsidRDefault="008805FC" w:rsidP="008805FC"/>
    <w:p w:rsidR="008805FC" w:rsidRPr="008805FC" w:rsidRDefault="008805FC" w:rsidP="008805FC">
      <w:pPr>
        <w:rPr>
          <w:color w:val="FF0000"/>
        </w:rPr>
      </w:pPr>
      <w:r w:rsidRPr="008805FC">
        <w:rPr>
          <w:color w:val="FF0000"/>
        </w:rPr>
        <w:t>GENEL AYRICALIKLAR</w:t>
      </w:r>
      <w:r w:rsidRPr="008805FC">
        <w:rPr>
          <w:color w:val="FF0000"/>
        </w:rPr>
        <w:br/>
      </w:r>
      <w:r w:rsidRPr="008805FC">
        <w:rPr>
          <w:color w:val="FF0000"/>
        </w:rPr>
        <w:br/>
        <w:t xml:space="preserve">Piyasada güvenilir kişi olarak tanınma ve daha çok tercih edilme </w:t>
      </w:r>
    </w:p>
    <w:p w:rsidR="008805FC" w:rsidRPr="008805FC" w:rsidRDefault="008805FC" w:rsidP="008805FC">
      <w:pPr>
        <w:rPr>
          <w:color w:val="FF0000"/>
        </w:rPr>
      </w:pPr>
      <w:r w:rsidRPr="008805FC">
        <w:rPr>
          <w:color w:val="FF0000"/>
        </w:rPr>
        <w:t>İşlem maliyetlerinin azalışından ve süre kazanımından kaynaklı rekabet gücü artışı</w:t>
      </w:r>
    </w:p>
    <w:p w:rsidR="008805FC" w:rsidRPr="008805FC" w:rsidRDefault="008805FC" w:rsidP="008805FC">
      <w:pPr>
        <w:rPr>
          <w:color w:val="FF0000"/>
        </w:rPr>
      </w:pPr>
      <w:r w:rsidRPr="008805FC">
        <w:rPr>
          <w:color w:val="FF0000"/>
        </w:rPr>
        <w:t xml:space="preserve"> Anlaşma yapılan ülkelerde sağlanan ayrıcalıklardan faydalanabilme</w:t>
      </w:r>
    </w:p>
    <w:p w:rsidR="008805FC" w:rsidRPr="008805FC" w:rsidRDefault="008805FC" w:rsidP="008805FC">
      <w:pPr>
        <w:rPr>
          <w:color w:val="FF0000"/>
        </w:rPr>
      </w:pPr>
      <w:r w:rsidRPr="008805FC">
        <w:rPr>
          <w:color w:val="FF0000"/>
        </w:rPr>
        <w:t xml:space="preserve"> Tedarik masraflarının azalması ve tedarikçilerle işbirliğinin artması </w:t>
      </w:r>
    </w:p>
    <w:p w:rsidR="008805FC" w:rsidRPr="008805FC" w:rsidRDefault="008805FC" w:rsidP="008805FC">
      <w:pPr>
        <w:rPr>
          <w:color w:val="FF0000"/>
        </w:rPr>
      </w:pPr>
      <w:r w:rsidRPr="008805FC">
        <w:rPr>
          <w:color w:val="FF0000"/>
        </w:rPr>
        <w:t xml:space="preserve">Sevkiyatla ilgili belirsizliklerin en aza indirilmesi </w:t>
      </w:r>
    </w:p>
    <w:p w:rsidR="008805FC" w:rsidRPr="008805FC" w:rsidRDefault="008805FC" w:rsidP="008805FC">
      <w:pPr>
        <w:rPr>
          <w:color w:val="FF0000"/>
        </w:rPr>
      </w:pPr>
      <w:r w:rsidRPr="008805FC">
        <w:rPr>
          <w:color w:val="FF0000"/>
        </w:rPr>
        <w:t>Firmaların kurallara uygun çalışmaya teşvik edilmesi</w:t>
      </w:r>
    </w:p>
    <w:p w:rsidR="008805FC" w:rsidRDefault="008805FC" w:rsidP="008805FC"/>
    <w:p w:rsidR="008805FC" w:rsidRPr="00921CF6" w:rsidRDefault="008805FC" w:rsidP="00B52191">
      <w:pPr>
        <w:autoSpaceDE w:val="0"/>
        <w:autoSpaceDN w:val="0"/>
        <w:adjustRightInd w:val="0"/>
        <w:spacing w:after="0" w:line="360" w:lineRule="auto"/>
        <w:jc w:val="center"/>
        <w:rPr>
          <w:rFonts w:ascii="Times New Roman" w:hAnsi="Times New Roman"/>
          <w:b/>
          <w:bCs/>
          <w:sz w:val="28"/>
          <w:szCs w:val="28"/>
        </w:rPr>
      </w:pPr>
    </w:p>
    <w:p w:rsidR="00B52191" w:rsidRPr="00921CF6" w:rsidRDefault="00B52191" w:rsidP="00B52191">
      <w:pPr>
        <w:autoSpaceDE w:val="0"/>
        <w:autoSpaceDN w:val="0"/>
        <w:adjustRightInd w:val="0"/>
        <w:spacing w:after="0" w:line="360" w:lineRule="auto"/>
        <w:jc w:val="both"/>
        <w:rPr>
          <w:rFonts w:ascii="Times New Roman" w:hAnsi="Times New Roman"/>
          <w:b/>
          <w:bCs/>
        </w:rPr>
      </w:pPr>
    </w:p>
    <w:p w:rsidR="00B52191" w:rsidRPr="00921CF6" w:rsidRDefault="00B52191" w:rsidP="00B52191">
      <w:pPr>
        <w:autoSpaceDE w:val="0"/>
        <w:autoSpaceDN w:val="0"/>
        <w:adjustRightInd w:val="0"/>
        <w:spacing w:after="0" w:line="360" w:lineRule="auto"/>
        <w:jc w:val="both"/>
        <w:rPr>
          <w:rFonts w:ascii="Times New Roman" w:hAnsi="Times New Roman"/>
          <w:b/>
          <w:bCs/>
        </w:rPr>
      </w:pPr>
      <w:r w:rsidRPr="00921CF6">
        <w:rPr>
          <w:rFonts w:ascii="Times New Roman" w:hAnsi="Times New Roman"/>
          <w:b/>
          <w:bCs/>
          <w:sz w:val="24"/>
          <w:szCs w:val="24"/>
        </w:rPr>
        <w:t xml:space="preserve">Yetkilendirilmiş Yükümlü Statüsünün Sağladığı </w:t>
      </w:r>
      <w:r w:rsidR="008805FC">
        <w:rPr>
          <w:rFonts w:ascii="Times New Roman" w:hAnsi="Times New Roman"/>
          <w:b/>
          <w:bCs/>
          <w:sz w:val="24"/>
          <w:szCs w:val="24"/>
        </w:rPr>
        <w:t xml:space="preserve">Teknik </w:t>
      </w:r>
      <w:r w:rsidRPr="00921CF6">
        <w:rPr>
          <w:rFonts w:ascii="Times New Roman" w:hAnsi="Times New Roman"/>
          <w:b/>
          <w:bCs/>
          <w:sz w:val="24"/>
          <w:szCs w:val="24"/>
        </w:rPr>
        <w:t>Kolaylıklar</w:t>
      </w:r>
    </w:p>
    <w:p w:rsidR="00B52191" w:rsidRPr="00921CF6" w:rsidRDefault="00B52191" w:rsidP="00B52191">
      <w:pPr>
        <w:autoSpaceDE w:val="0"/>
        <w:autoSpaceDN w:val="0"/>
        <w:adjustRightInd w:val="0"/>
        <w:spacing w:after="0" w:line="360" w:lineRule="auto"/>
        <w:jc w:val="both"/>
        <w:rPr>
          <w:rFonts w:ascii="Times New Roman" w:hAnsi="Times New Roman"/>
          <w:b/>
          <w:bCs/>
        </w:rPr>
      </w:pPr>
    </w:p>
    <w:p w:rsidR="00B52191" w:rsidRPr="00921CF6" w:rsidRDefault="00B52191" w:rsidP="00B52191">
      <w:pPr>
        <w:autoSpaceDE w:val="0"/>
        <w:autoSpaceDN w:val="0"/>
        <w:adjustRightInd w:val="0"/>
        <w:spacing w:after="0" w:line="360" w:lineRule="auto"/>
        <w:jc w:val="both"/>
        <w:rPr>
          <w:rFonts w:ascii="Times New Roman" w:hAnsi="Times New Roman"/>
          <w:bCs/>
        </w:rPr>
      </w:pP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İhracatta yerinde gümrükleme,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İzinli gönderici(transit eşyasını hareket gümrük idaresine sunmadan kendi tesislerinden sevk edebilme),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Götürü teminat uygulaması kapsamında tutarı önceden belirlenmiş süresiz ve düşümsüz teminat verebilme,</w:t>
      </w:r>
    </w:p>
    <w:p w:rsidR="00B52191"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Teminatlı işlemlerde kısmi oranda teminat verebilme,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Pr>
          <w:rFonts w:ascii="Times New Roman" w:hAnsi="Times New Roman"/>
        </w:rPr>
        <w:t>İthalatta yerinde gümrükleme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Odalara onay ve gümrük idarelerine vize işlemlerine gerek olmaksızın A.TR dolaşım belgesi düzenleyebilme,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Eşyanın kıymetine bağlı olmaksızın fatura beyanı ve EUR.MED fatura beyanı düzenleyebilme,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Eksik belgeyle beyanda bulunabilme,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Eşya türüne sınırlama olmaksızın tam beyanlı yaygın basitleştirilmiş usulden(supalan işlem) yararlanabilme,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Gümrük Yönetmeliğinde belirlenmiş eşyayı tahlil sonuçları alınmadan teslim alabilme,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Konşimentosu ibraz edilmeyen petrol ve türevlerini konşimento ibrazından önce teslim alabilme,</w:t>
      </w:r>
    </w:p>
    <w:p w:rsidR="00B52191" w:rsidRPr="00921CF6" w:rsidRDefault="00B52191" w:rsidP="00B52191">
      <w:pPr>
        <w:numPr>
          <w:ilvl w:val="0"/>
          <w:numId w:val="1"/>
        </w:numPr>
        <w:autoSpaceDE w:val="0"/>
        <w:autoSpaceDN w:val="0"/>
        <w:adjustRightInd w:val="0"/>
        <w:spacing w:after="0" w:line="360" w:lineRule="auto"/>
        <w:jc w:val="both"/>
        <w:rPr>
          <w:rFonts w:ascii="Times New Roman" w:hAnsi="Times New Roman"/>
        </w:rPr>
      </w:pPr>
      <w:r w:rsidRPr="00921CF6">
        <w:rPr>
          <w:rFonts w:ascii="Times New Roman" w:hAnsi="Times New Roman"/>
        </w:rPr>
        <w:t>Ayniyat tespitine ilişkin Bakanlıkça yapılacak farklı düzenlemelerden faydalanabilme.</w:t>
      </w: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autoSpaceDE w:val="0"/>
        <w:autoSpaceDN w:val="0"/>
        <w:adjustRightInd w:val="0"/>
        <w:spacing w:after="0" w:line="360" w:lineRule="auto"/>
        <w:jc w:val="both"/>
        <w:rPr>
          <w:rFonts w:ascii="Times New Roman" w:hAnsi="Times New Roman"/>
          <w:b/>
          <w:bCs/>
        </w:rPr>
      </w:pPr>
    </w:p>
    <w:p w:rsidR="00B52191" w:rsidRPr="00921CF6" w:rsidRDefault="00B52191" w:rsidP="00B52191">
      <w:pPr>
        <w:numPr>
          <w:ilvl w:val="0"/>
          <w:numId w:val="2"/>
        </w:numPr>
        <w:autoSpaceDE w:val="0"/>
        <w:autoSpaceDN w:val="0"/>
        <w:adjustRightInd w:val="0"/>
        <w:spacing w:after="0" w:line="360" w:lineRule="auto"/>
        <w:jc w:val="both"/>
        <w:rPr>
          <w:rFonts w:ascii="Times New Roman" w:hAnsi="Times New Roman"/>
        </w:rPr>
      </w:pPr>
      <w:r w:rsidRPr="00921CF6">
        <w:rPr>
          <w:rFonts w:ascii="Times New Roman" w:hAnsi="Times New Roman"/>
        </w:rPr>
        <w:t>Azaltılmış zorunlu bilgilerden oluşan özet beyan verebilme,</w:t>
      </w:r>
    </w:p>
    <w:p w:rsidR="00B52191" w:rsidRPr="00921CF6" w:rsidRDefault="00B52191" w:rsidP="00B52191">
      <w:pPr>
        <w:numPr>
          <w:ilvl w:val="0"/>
          <w:numId w:val="2"/>
        </w:numPr>
        <w:autoSpaceDE w:val="0"/>
        <w:autoSpaceDN w:val="0"/>
        <w:adjustRightInd w:val="0"/>
        <w:spacing w:after="0" w:line="360" w:lineRule="auto"/>
        <w:jc w:val="both"/>
        <w:rPr>
          <w:rFonts w:ascii="Times New Roman" w:hAnsi="Times New Roman"/>
        </w:rPr>
      </w:pPr>
      <w:r w:rsidRPr="00921CF6">
        <w:rPr>
          <w:rFonts w:ascii="Times New Roman" w:hAnsi="Times New Roman"/>
        </w:rPr>
        <w:t>İthalat ve ihracat gümrük işlemlerinin eşyanın tesliminden önce, fiziki muayene ve belge kontrolü olmadan işlem görebilme (mavi hat uygulaması),</w:t>
      </w:r>
    </w:p>
    <w:p w:rsidR="00B52191" w:rsidRPr="00921CF6" w:rsidRDefault="00B52191" w:rsidP="00B52191">
      <w:pPr>
        <w:numPr>
          <w:ilvl w:val="0"/>
          <w:numId w:val="2"/>
        </w:numPr>
        <w:autoSpaceDE w:val="0"/>
        <w:autoSpaceDN w:val="0"/>
        <w:adjustRightInd w:val="0"/>
        <w:spacing w:after="0" w:line="360" w:lineRule="auto"/>
        <w:jc w:val="both"/>
        <w:rPr>
          <w:rFonts w:ascii="Times New Roman" w:hAnsi="Times New Roman"/>
          <w:b/>
          <w:bCs/>
        </w:rPr>
      </w:pPr>
      <w:r w:rsidRPr="00921CF6">
        <w:rPr>
          <w:rFonts w:ascii="Times New Roman" w:hAnsi="Times New Roman"/>
        </w:rPr>
        <w:t>Taşıt üstü işlemlerde mavi hattan yararlanabilme</w:t>
      </w:r>
      <w:r w:rsidRPr="00921CF6">
        <w:rPr>
          <w:rFonts w:ascii="Times New Roman" w:hAnsi="Times New Roman"/>
          <w:b/>
          <w:bCs/>
        </w:rPr>
        <w:t>,</w:t>
      </w:r>
    </w:p>
    <w:p w:rsidR="00B52191" w:rsidRPr="00921CF6" w:rsidRDefault="00B52191" w:rsidP="00B52191">
      <w:pPr>
        <w:numPr>
          <w:ilvl w:val="0"/>
          <w:numId w:val="2"/>
        </w:numPr>
        <w:autoSpaceDE w:val="0"/>
        <w:autoSpaceDN w:val="0"/>
        <w:adjustRightInd w:val="0"/>
        <w:spacing w:after="0" w:line="360" w:lineRule="auto"/>
        <w:jc w:val="both"/>
        <w:rPr>
          <w:rFonts w:ascii="Times New Roman" w:hAnsi="Times New Roman"/>
        </w:rPr>
      </w:pPr>
      <w:r w:rsidRPr="00921CF6">
        <w:rPr>
          <w:rFonts w:ascii="Times New Roman" w:hAnsi="Times New Roman"/>
        </w:rPr>
        <w:t>Daha az belge kontrolü veya muayeneye tabi tutabilme,</w:t>
      </w:r>
    </w:p>
    <w:p w:rsidR="00B52191" w:rsidRDefault="00B52191" w:rsidP="00B52191">
      <w:pPr>
        <w:numPr>
          <w:ilvl w:val="0"/>
          <w:numId w:val="2"/>
        </w:numPr>
        <w:autoSpaceDE w:val="0"/>
        <w:autoSpaceDN w:val="0"/>
        <w:adjustRightInd w:val="0"/>
        <w:spacing w:after="0" w:line="360" w:lineRule="auto"/>
        <w:jc w:val="both"/>
        <w:rPr>
          <w:rFonts w:ascii="Times New Roman" w:hAnsi="Times New Roman"/>
        </w:rPr>
      </w:pPr>
      <w:r w:rsidRPr="00921CF6">
        <w:rPr>
          <w:rFonts w:ascii="Times New Roman" w:hAnsi="Times New Roman"/>
        </w:rPr>
        <w:t>Belge kontrolü veya muayene olması halinde, bu işlemlerin öncelikli olarak yapılabilmesi</w:t>
      </w:r>
    </w:p>
    <w:p w:rsidR="00750CD7" w:rsidRDefault="00750CD7" w:rsidP="00B52191">
      <w:pPr>
        <w:numPr>
          <w:ilvl w:val="0"/>
          <w:numId w:val="2"/>
        </w:numPr>
        <w:autoSpaceDE w:val="0"/>
        <w:autoSpaceDN w:val="0"/>
        <w:adjustRightInd w:val="0"/>
        <w:spacing w:after="0" w:line="360" w:lineRule="auto"/>
        <w:jc w:val="both"/>
        <w:rPr>
          <w:rFonts w:ascii="Times New Roman" w:hAnsi="Times New Roman"/>
        </w:rPr>
      </w:pPr>
      <w:r>
        <w:rPr>
          <w:rFonts w:ascii="Times New Roman" w:hAnsi="Times New Roman"/>
        </w:rPr>
        <w:t>Sınır geçişlerinde öncelik.</w:t>
      </w:r>
    </w:p>
    <w:p w:rsidR="00750CD7" w:rsidRDefault="00750CD7" w:rsidP="00B52191">
      <w:pPr>
        <w:numPr>
          <w:ilvl w:val="0"/>
          <w:numId w:val="2"/>
        </w:numPr>
        <w:autoSpaceDE w:val="0"/>
        <w:autoSpaceDN w:val="0"/>
        <w:adjustRightInd w:val="0"/>
        <w:spacing w:after="0" w:line="360" w:lineRule="auto"/>
        <w:jc w:val="both"/>
        <w:rPr>
          <w:rFonts w:ascii="Times New Roman" w:hAnsi="Times New Roman"/>
        </w:rPr>
      </w:pPr>
      <w:r>
        <w:rPr>
          <w:rFonts w:ascii="Times New Roman" w:hAnsi="Times New Roman"/>
        </w:rPr>
        <w:t>Yetkilendirilmiş Yükümlü anlaşması ülkelerde ayrıcalıklı işlem</w:t>
      </w:r>
    </w:p>
    <w:p w:rsidR="00750CD7" w:rsidRPr="00921CF6" w:rsidRDefault="00750CD7" w:rsidP="00B52191">
      <w:pPr>
        <w:numPr>
          <w:ilvl w:val="0"/>
          <w:numId w:val="2"/>
        </w:numPr>
        <w:autoSpaceDE w:val="0"/>
        <w:autoSpaceDN w:val="0"/>
        <w:adjustRightInd w:val="0"/>
        <w:spacing w:after="0" w:line="360" w:lineRule="auto"/>
        <w:jc w:val="both"/>
        <w:rPr>
          <w:rFonts w:ascii="Times New Roman" w:hAnsi="Times New Roman"/>
        </w:rPr>
      </w:pPr>
      <w:r>
        <w:rPr>
          <w:rFonts w:ascii="Times New Roman" w:hAnsi="Times New Roman"/>
        </w:rPr>
        <w:t>Yetkilendirilmiş Yükümlü Sertifikası firmalar için serbest dolaşıma soktukları eşyanın vergilerini faiz ödemeden bir ay sonra ödeme imkanı</w:t>
      </w:r>
    </w:p>
    <w:p w:rsidR="00B52191" w:rsidRPr="00921CF6" w:rsidRDefault="00B52191" w:rsidP="00B52191">
      <w:pPr>
        <w:autoSpaceDE w:val="0"/>
        <w:autoSpaceDN w:val="0"/>
        <w:adjustRightInd w:val="0"/>
        <w:spacing w:after="0" w:line="360" w:lineRule="auto"/>
        <w:jc w:val="both"/>
        <w:rPr>
          <w:rFonts w:ascii="Times New Roman" w:hAnsi="Times New Roman"/>
          <w:b/>
          <w:color w:val="FF0000"/>
        </w:rPr>
      </w:pP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autoSpaceDE w:val="0"/>
        <w:autoSpaceDN w:val="0"/>
        <w:adjustRightInd w:val="0"/>
        <w:spacing w:after="0" w:line="360" w:lineRule="auto"/>
        <w:jc w:val="both"/>
        <w:rPr>
          <w:rFonts w:ascii="Times New Roman" w:hAnsi="Times New Roman"/>
          <w:b/>
        </w:rPr>
      </w:pPr>
      <w:r w:rsidRPr="00921CF6">
        <w:rPr>
          <w:rFonts w:ascii="Times New Roman" w:hAnsi="Times New Roman"/>
          <w:b/>
        </w:rPr>
        <w:t>Yetkilendirilmiş Yükümlü Sertifikası başvurusu için;</w:t>
      </w: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numPr>
          <w:ilvl w:val="0"/>
          <w:numId w:val="6"/>
        </w:numPr>
        <w:autoSpaceDE w:val="0"/>
        <w:autoSpaceDN w:val="0"/>
        <w:adjustRightInd w:val="0"/>
        <w:spacing w:after="0" w:line="360" w:lineRule="auto"/>
        <w:jc w:val="both"/>
        <w:rPr>
          <w:rFonts w:ascii="Times New Roman" w:hAnsi="Times New Roman"/>
        </w:rPr>
      </w:pPr>
      <w:r w:rsidRPr="00921CF6">
        <w:rPr>
          <w:rFonts w:ascii="Times New Roman" w:hAnsi="Times New Roman"/>
        </w:rPr>
        <w:t>Güvenilirlik koşulunun,</w:t>
      </w:r>
    </w:p>
    <w:p w:rsidR="00B52191" w:rsidRPr="00921CF6" w:rsidRDefault="00B52191" w:rsidP="00B52191">
      <w:pPr>
        <w:numPr>
          <w:ilvl w:val="0"/>
          <w:numId w:val="6"/>
        </w:numPr>
        <w:autoSpaceDE w:val="0"/>
        <w:autoSpaceDN w:val="0"/>
        <w:adjustRightInd w:val="0"/>
        <w:spacing w:after="0" w:line="360" w:lineRule="auto"/>
        <w:jc w:val="both"/>
        <w:rPr>
          <w:rFonts w:ascii="Times New Roman" w:hAnsi="Times New Roman"/>
        </w:rPr>
      </w:pPr>
      <w:r w:rsidRPr="00921CF6">
        <w:rPr>
          <w:rFonts w:ascii="Times New Roman" w:hAnsi="Times New Roman"/>
        </w:rPr>
        <w:t>Başvuru sahibinin ticari ve varsa taşımaya ilişkin kayıtlarının güvenilir ve izlenebilir olduğunun,</w:t>
      </w:r>
    </w:p>
    <w:p w:rsidR="00B52191" w:rsidRPr="00921CF6" w:rsidRDefault="00B52191" w:rsidP="00B52191">
      <w:pPr>
        <w:numPr>
          <w:ilvl w:val="0"/>
          <w:numId w:val="6"/>
        </w:numPr>
        <w:autoSpaceDE w:val="0"/>
        <w:autoSpaceDN w:val="0"/>
        <w:adjustRightInd w:val="0"/>
        <w:spacing w:after="0" w:line="360" w:lineRule="auto"/>
        <w:jc w:val="both"/>
        <w:rPr>
          <w:rFonts w:ascii="Times New Roman" w:hAnsi="Times New Roman"/>
        </w:rPr>
      </w:pPr>
      <w:r w:rsidRPr="00921CF6">
        <w:rPr>
          <w:rFonts w:ascii="Times New Roman" w:hAnsi="Times New Roman"/>
        </w:rPr>
        <w:t>Başvuru sahibinin mali yapısının başvuru yılından önceki üç yıl esas alınmak suretiyle, yeminli mali müşavir tarafından incelenerek, olumlu görüşle rapora bağlanmış olmasının,</w:t>
      </w:r>
    </w:p>
    <w:p w:rsidR="00B52191" w:rsidRPr="00921CF6" w:rsidRDefault="00B52191" w:rsidP="00B52191">
      <w:pPr>
        <w:numPr>
          <w:ilvl w:val="0"/>
          <w:numId w:val="6"/>
        </w:numPr>
        <w:autoSpaceDE w:val="0"/>
        <w:autoSpaceDN w:val="0"/>
        <w:adjustRightInd w:val="0"/>
        <w:spacing w:after="0" w:line="360" w:lineRule="auto"/>
        <w:jc w:val="both"/>
        <w:rPr>
          <w:rFonts w:ascii="Times New Roman" w:hAnsi="Times New Roman"/>
        </w:rPr>
      </w:pPr>
      <w:r w:rsidRPr="00921CF6">
        <w:rPr>
          <w:rFonts w:ascii="Times New Roman" w:hAnsi="Times New Roman"/>
        </w:rPr>
        <w:t>Başvuru sahibinin uygun emniyet ve güvenlik standartlarına sahip bulunduğunun kabul edilmesi gerekir.</w:t>
      </w: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autoSpaceDE w:val="0"/>
        <w:autoSpaceDN w:val="0"/>
        <w:adjustRightInd w:val="0"/>
        <w:spacing w:after="0" w:line="360" w:lineRule="auto"/>
        <w:jc w:val="both"/>
        <w:rPr>
          <w:rFonts w:ascii="Times New Roman" w:hAnsi="Times New Roman"/>
          <w:color w:val="FF0000"/>
        </w:rPr>
      </w:pPr>
    </w:p>
    <w:p w:rsidR="00B52191" w:rsidRPr="00921CF6" w:rsidRDefault="00B52191" w:rsidP="00B52191">
      <w:pPr>
        <w:spacing w:line="360" w:lineRule="auto"/>
        <w:jc w:val="both"/>
        <w:rPr>
          <w:rFonts w:ascii="Times New Roman" w:hAnsi="Times New Roman"/>
          <w:color w:val="FF0000"/>
        </w:rPr>
      </w:pPr>
      <w:r w:rsidRPr="00921CF6">
        <w:rPr>
          <w:rFonts w:ascii="Times New Roman" w:hAnsi="Times New Roman"/>
          <w:color w:val="FF0000"/>
        </w:rPr>
        <w:t xml:space="preserve">. </w:t>
      </w:r>
    </w:p>
    <w:p w:rsidR="00B52191" w:rsidRPr="00E922C8" w:rsidRDefault="00B52191" w:rsidP="00B52191">
      <w:pPr>
        <w:spacing w:line="360" w:lineRule="auto"/>
        <w:rPr>
          <w:rFonts w:ascii="Times New Roman" w:hAnsi="Times New Roman"/>
          <w:color w:val="404040" w:themeColor="text1" w:themeTint="BF"/>
        </w:rPr>
      </w:pPr>
      <w:r w:rsidRPr="00E922C8">
        <w:rPr>
          <w:rFonts w:ascii="Times New Roman" w:hAnsi="Times New Roman"/>
          <w:color w:val="404040" w:themeColor="text1" w:themeTint="BF"/>
        </w:rPr>
        <w:t>SERTİFİKA ALMAK İÇİN SAĞLANMASI GEREKEN KOŞULLAR</w:t>
      </w:r>
    </w:p>
    <w:p w:rsidR="00B52191" w:rsidRPr="00E922C8" w:rsidRDefault="007A7698" w:rsidP="00B52191">
      <w:pPr>
        <w:spacing w:line="360" w:lineRule="auto"/>
        <w:rPr>
          <w:rFonts w:ascii="Times New Roman" w:hAnsi="Times New Roman"/>
          <w:color w:val="404040" w:themeColor="text1" w:themeTint="BF"/>
        </w:rPr>
      </w:pPr>
      <w:r>
        <w:rPr>
          <w:rFonts w:ascii="Times New Roman" w:hAnsi="Times New Roman"/>
          <w:color w:val="404040" w:themeColor="text1" w:themeTint="BF"/>
        </w:rPr>
        <w:t xml:space="preserve"> </w:t>
      </w:r>
      <w:r w:rsidR="00B52191" w:rsidRPr="00E922C8">
        <w:rPr>
          <w:rFonts w:ascii="Times New Roman" w:hAnsi="Times New Roman"/>
          <w:color w:val="404040" w:themeColor="text1" w:themeTint="BF"/>
        </w:rPr>
        <w:t xml:space="preserve"> Güvenilirlik koşulunun yerine getirilmiş olması için aşağıdaki koşulların tamamının sağlanmış olduğunun yapılacak ön inceleme neticesinde gümrük idaresince tevsik edilmiş olması gerekir.</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a) Yönetim kurulu üyeleri, sermayesinin yüzde onundan fazlasına sahip gerçek kişiler ile gümrük ve dış ticaret işlemlerinde temsil yetkisini haiz çalışanlarının; devletin güvenliğine karşı suçlar, anayasal düzene ve bu düzenin işleyişine karşı suçlar, devlet sırlarına karşı suçlar ve casusluk, uluslararası suçlar, zimmet, irtikap, rüşvet, güveni kötüye kullanma, hırsızlık, dolandırıcılık, sahtecilik, inancı kötüye kullanma, hileli iflas, yalan tanıklık, suç uydurma ve iftira suçları ile ihaleye fesat karıştırma, edimin ifasına fesat karıştırma, suçtan kaynaklanan mal varlığı değerlerini aklama suçlarından mülga 1/3/1926 tarihli ve 765 sayılı Türk Ceza Kanunu ile 26/9/2004 tarihli ve 5237 sayılı Türk Ceza Kanununa; vergi kaçakçılığı veya vergi kaçakçılığına teşebbüs suçlarından 4/1/1961 tarihli ve 213 sayılı Vergi Usul Kanununa; 7/1/1932 tarihli ve mülga 1918 sayılı Kaçakçılığın Men ve Takibine Dair Kanuna, mülga 10/7/2003 tarihli ve 4926 sayılı Kaçakçılıkla Mücadele Kanununa, 21/3/2007 tarihli ve 5607 sayılı Kaçakçılıkla Mücadele Kanununa, 19/4/1990 tarihli ve 3628 sayılı Mal Bildiriminde Bulunulması, Rüşvet ve Yolsuzluklarla Mücadele Kanununa, 20/2/1930 tarihli ve 1567 sayılı Türk Parası Kıymetini Koruma Hakkında Kanuna, 4/12/2003 tarihli ve 5015 sayılı Petrol Piyasası Kanununa, 11/10/2006 tarihli ve 5549 sayılı Suç Gelirlerinin Aklanmasızın Önlenmesi Hakkında Kanuna, 12/6/1933 tarihli ve 2313 sayılı Uyuşturucu Maddelerin Murakabesi Hakkında Kanuna, 3/6/1986 tarihli ve 3298 sayılı Uyuşturucu Maddelerle ilgili Kanuna muhalefetten ceza veya mahkumiyet kararı bulunmaması.</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lastRenderedPageBreak/>
        <w:t>b) Varsa sürekli olarak yurtdışında ikamet eden yabancı uyruklu; yönetim kurulu üyeleri, sermayesinin yüzde onundan fazlasına sahip gerçek kişiler ile gümrük ve dış ticaret işlemlerinde temsil yetkisini haiz çalışanlarının, 5237 sayılı Türk Ceza Kanununda sayılan uluslararası suçlar, devletin güvenliğine karşı suçlar, anayasal düzene ve bu düzenin işleyişine karşı suçlar, devlet sırlarına karşı suçlar ve casusluk, zimmet, irtikâp, rüşvet, güveni kötüye kullanma, hırsızlık, dolandı</w:t>
      </w:r>
      <w:r w:rsidRPr="00E922C8">
        <w:rPr>
          <w:color w:val="404040" w:themeColor="text1" w:themeTint="BF"/>
        </w:rPr>
        <w:t>􀁕</w:t>
      </w:r>
      <w:r w:rsidRPr="00E922C8">
        <w:rPr>
          <w:rFonts w:ascii="Times New Roman" w:hAnsi="Times New Roman"/>
          <w:color w:val="404040" w:themeColor="text1" w:themeTint="BF"/>
        </w:rPr>
        <w:t>ı</w:t>
      </w:r>
      <w:r w:rsidRPr="00E922C8">
        <w:rPr>
          <w:color w:val="404040" w:themeColor="text1" w:themeTint="BF"/>
        </w:rPr>
        <w:t>􀁆</w:t>
      </w:r>
      <w:r w:rsidRPr="00E922C8">
        <w:rPr>
          <w:rFonts w:ascii="Times New Roman" w:hAnsi="Times New Roman"/>
          <w:color w:val="404040" w:themeColor="text1" w:themeTint="BF"/>
        </w:rPr>
        <w:t>ılık, sahtecilik, inancı kötüye kullanma, hileli iflas, yalan tanıklık, suç uydurma ve iftira suçları ile ihaleye fesat karıştırma, edimin ifasına fesat karıştırma, suçtan kaynaklanan mal varlığı değerlerini aklama suçlarından, vergi kaçakçılığı veya vergi kaçakçılığına teşebbüs suçlarından, gümrük kaçakçılığı veya gümrük kaçakçılığına teşebbüs suçlarından, petrol kaçakçılığı suçlarından, uyuşturucu kaçakçılığı suçlarından, haksız mal edinme suçlarından, Türkiye’nin veya diğer ülkelerin mevzuat hükümlerine muhalefetten ceza veya mahkûmiyet kararı bulunmaması.</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c) Başvurunun kayda alındığı ayın ilk gününden geriye dönük üç yıl içerisinde, on ikişer aylık üç dönem ayrı ayrı olmak üzere, her bir dönem içerisinde vergi kaybına neden olan gümrük mevzuatı ihlali nedeniyle, haklarında Kanunun 234 ilâ 238. maddeleri uyarınca Kanunun 241. maddesinin birinci fıkrasında öngörülen usulsüzlük cezasının üç katını aşan tutarda düzenlenmiş ceza kararı toplam sayısının, beşten fazla olmak koşuluyla, her bir dönemde işlem gören ithalat ve ihracata ilişkin gümrük beyannamesi toplam sayısının yüzde birini aşmaması.</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ç) Başvurunun kayda alındığı ayın ilk gününden geriye dönük üç yıl içerisinde, on ikişer aylık üç dönem ayrı ayrı olmak üzere, her bir dönem içerisinde vergi kaybına neden olan gümrük mevzuatı ihlali nedeniyle, haklarında Kanunun 234 ilâ 238. maddeleri uyarınca Kanunun 241. maddesinin birinci fıkrasında öngörülen usulsüzlük cezasının yetmiş beş katını aşan tutarda düzenlenmiş ceza kararı sayısı ve yine aynı tutardaki usulsüzlük cezasının iki yüz elli katını aşan 25/10/1984 tarihli ve 3065 sayılı Katma Değer Vergisi Kanununun 51. maddesi ve 6/6/2002 tarihli ve 4760 sayılı Özel Tüketim Vergisi Kanununun 16. maddesi uyarınca düzenlenmiş ceza kararı sayısı toplamlarının, ikiden fazla olmak koşuluyla, her bir dönemde işlem gören ithalat ve ihracata ilişkin gümrük beyannamesi toplam sayısının binde ikisini aşmaması.</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d) Başvurunun kayda alındığı ayın ilk gününden geriye dönük üç yıl içerisinde, on ikişer aylık üç dönem ayrı ayrı olmak üzere, her bir dönem içerisinde gümrük mevzuatı ihlali nedeniyle haklarında Kanunun 239. maddesi uyarınca Kanunun 241. maddesinin birinci fıkrasında öngörülen usulsüzlük cezasının üç katını aşan tutarda düzenlenmiş ceza kararı ile Kanunun 241. maddesi uyarınca aynı maddenin birinci fıkrasında öngörülen usulsüzlük cezasını aşan tutarda düzenlenmiş ceza kararı toplam sayısının, ondan fazla olmak koşuluyla, her bir dönemde işlem gören ithalat ve ihracata ilişkin gümrük beyannamesi toplam sayısının yüzde ikisini aşmaması.</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e) Gümrük mevzuatı uyarınca kesinleşmiş vergi ve ceza borcu bulunmaması.</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f) Vergi mevzuatı uyarınca kesinleşmiş vergi borcu bulunmaması.</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lastRenderedPageBreak/>
        <w:t>g) İlgili mevzuat uyarınca kesinleşmiş sosyal güvenlik prim borcu bulunmaması.</w:t>
      </w:r>
    </w:p>
    <w:p w:rsidR="00B52191" w:rsidRPr="00E922C8" w:rsidRDefault="00B52191" w:rsidP="00B52191">
      <w:pPr>
        <w:spacing w:line="360" w:lineRule="auto"/>
        <w:jc w:val="both"/>
        <w:rPr>
          <w:rFonts w:ascii="Times New Roman" w:hAnsi="Times New Roman"/>
          <w:color w:val="404040" w:themeColor="text1" w:themeTint="BF"/>
        </w:rPr>
      </w:pP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(2) Birinci fıkranın (c) bendinin uygulanmasında, Kanunun 67. maddesinin ikinci fıkrası hükmü saklı kalmak kaydıyla, aynı beyannameye ilişkin düzenlenmiş birden fazla ceza kararı bir ceza kararı sayılır.</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(3) Birinci fıkranın (c), (ç) ve (d) bentlerinin uygulanmasında aynı gümrük idaresinde aynı tespite istinaden geriye dönük olarak yapılan tarama sonucunda aynı ihlale ilişkin olarak düzenlenen birden fazla ceza kararı tek bir ceza kararı sayılır.</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(4) Birinci fıkranın (c), (ç) ve (d) bentlerinin uygulanmasında kesinleşmemiş ceza kararları dikkate alınmaz.</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(5) Birinci fıkranın (c), (ç) ve (d) bentlerinin uygulanmasında ceza kararının düzenlendiği tarih esas alınır. Başvurunun değerlendirilmesinde, başvurunun yapıldığı ayın ilk gününden geriye dönük üç yıldan daha önce işlenen fiiller nedeniyle düzenlenen ceza kararları dikkate alınmaz.</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(6) Birinci fıkranın (c) ve (ç) bentlerinin uygulanmasında Kanunun 234. maddesinin üçüncü fıkrasına göre düzenlenen ceza kararları dikkate alınmaz.</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(7) Birinci fıkranın (e), (f) ve (g) bentlerinin uygulanmasında ilgili mevzuat uyarınca teminata bağlanan, yapılandırılan, tecil edilen, taksitlendirilen veya mahsup talebi kabul edilen borçlar hariç tutulur.</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Yetkilendirilmiş yükümlü sertifikası başvurusu için aranacak ticari kayıtların güvenilirliği ve izlenebilir olması koşulu</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Başvuru sahibinin ticari ve varsa taşımaya ilişkin kayıtlarının güvenilir ve izlenebilir olduğunun kabul edilmesi için Bakanlıkça yapılacak inceleme ve bu inceleme sonuçlarını değerlendirmeye yönelik kurulan sistem kapsamında yapılacak puanlama sonucunda aşağıdaki koşulların yeterli düzeyde sağlanmış olduğunun tevsik edilmiş olması gerekir.</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a) Ticari ve varsa taşımaya ilişkin kayıtlarını, gümrük idarelerince yapılan ve özellikle sonradan kontrol kapsamında yapılacak denetimlerin sağlıklı ve etkin bir şekilde yapılmasına olanak verecek, bilgi ve kayıtların gerçekliğini koruyan şekilde ve genel kabul görmüş muhasebe ilkelerine uygun olarak tutmak.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b) Eşyanın tüm vasıflarının tereddüde mahal bırakılmayacak şekilde gösterilmesini ve tüm hareketlerinin kayıt altına alınmasını mümkün kılan defter ve kayıt düzenine sahip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c) Gümrük ve varsa taşımaya ilişkin kayıtlara gümrük idaresinin fiziki veya elektronik olarak erişebilmesine olanak sağlamak.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lastRenderedPageBreak/>
        <w:t>ç) İdarenin yapacağı gümrük kontrolleri için gerek duyulan uygun ortamı sağlamak.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d) Serbest dolaşımda olan ve olmayan eşya ayrı ayrı gözeten bir lojistik kayıt sistemine (stok ve depolama kayıt sistemi, muhasebe sistemi ve benzerleri) sahip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e) İşletmenin türü ve büyüklüğü ile orantılı, yasadışı ve usulsüz işlemlerin tespitine imkân veren, eşya akışının idaresi için uygun, belirli bir sistematik içerisinde işlemlerin yürütülmesini sağlayan ve iç kontrol mekanizması içeren bir idari organizasyon yapısına sahip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f) Eşyanın gümrük idaresine doğru beyan edilmesini teyit ve tevsik edecek kurum içi bir sistematiğe sahip olmak ve</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1) Gümrük konularıyla ilgili birimlerinde ve buna ilişkin iç kontrol süreçlerinde gümrük konularında bilgili ve tecrübeli personel istihdam etmek veya</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2) Gümrük konularında bilgili ve tecrübeli personel istihdam eden tüzel kişilerden gümrük konuları ve buna ilişkin iç kontrol süreçlerine yönelik danışmanlık hizmeti almak.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g) Gümrük mevzuatına uyum konusunda herhangi bir aksaklık ortaya çıktığında veya sorun tespit edildiğinde gümrük idaresini bilgilendirmek.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ğ) Tüm beyanlara ilişkin olarak idarenin isteği doğrultusunda sunulacak şekilde, özel mevzuat hükümleri saklı kalmak kaydıyla, beyanın gerçekleştiği yılın sonundan itibaren beş yıl süreyle ilgili belgeleri saklamak.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h) Bilgi ve kayıtların arşivlenmesi ve bilgi kaybının önlenmesine yönelik yeterli ve uygun bir iş planlamasına sahip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ı) Bilgisayar sistemini yetkisiz girişlerden korumaya ve verilerini güvenceye almaya yönelik uygun bilişim teknolojisi güvenlik önlemlerine sahip olmak.</w:t>
      </w:r>
    </w:p>
    <w:p w:rsidR="00750CD7"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Yetkilendirilmiş yükümlü sertifikası başvurusu için aranacak mali yeterlilik koşu</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Başvuru sahibinin mali yapısının başvuru yılından önceki üç yıl esas alınmak suretiyle, yeminli mali müşavir tarafından incelenerek, olumlu görüşle rapora bağlanmış olması gerekir. Üç yıldan daha az süredir faaliyette bulunan kişilerin mali yapısı, yeminli mali müşavir tarafından mevcut veriler incelenerek rapora bağlanır.</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Ocak ilâ Mart ayları içerisinde yapılacak başvurularda bir önceki yıla ilişkin mali tabloların tamamlanamamış olması halinde, yeminli mali müşavir tarafından yapılacak incelemede başvuru yılından önceki ikinci, üçüncü ve dördüncü yıl esas alınır.</w:t>
      </w:r>
    </w:p>
    <w:p w:rsidR="00B52191" w:rsidRPr="00E922C8" w:rsidRDefault="000C0CBD" w:rsidP="00B52191">
      <w:pPr>
        <w:spacing w:line="360" w:lineRule="auto"/>
        <w:jc w:val="both"/>
        <w:rPr>
          <w:rFonts w:ascii="Times New Roman" w:hAnsi="Times New Roman"/>
          <w:color w:val="404040" w:themeColor="text1" w:themeTint="BF"/>
        </w:rPr>
      </w:pPr>
      <w:r>
        <w:rPr>
          <w:rFonts w:ascii="Times New Roman" w:hAnsi="Times New Roman"/>
          <w:color w:val="404040" w:themeColor="text1" w:themeTint="BF"/>
        </w:rPr>
        <w:lastRenderedPageBreak/>
        <w:t>M</w:t>
      </w:r>
      <w:r w:rsidR="00B52191" w:rsidRPr="00E922C8">
        <w:rPr>
          <w:rFonts w:ascii="Times New Roman" w:hAnsi="Times New Roman"/>
          <w:color w:val="404040" w:themeColor="text1" w:themeTint="BF"/>
        </w:rPr>
        <w:t>ali yeterlilik, başvuru sahibinin iştigal ettiği iş alanının özellikleri de göz önüne alındığında, taahhütlerini karşılamaya yeterli bir mali durumda bulunmasını ve hakkında iflas işlemleri başlatılmamış olmasını ifade eder.</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Üç yıldan daha az süredir faaliyette bulunan kişilerin mali yapısının yeterli </w:t>
      </w:r>
      <w:r w:rsidR="000C0CBD">
        <w:rPr>
          <w:rFonts w:ascii="Times New Roman" w:hAnsi="Times New Roman"/>
          <w:color w:val="404040" w:themeColor="text1" w:themeTint="BF"/>
        </w:rPr>
        <w:t xml:space="preserve">olup olmadığının </w:t>
      </w:r>
      <w:r w:rsidRPr="00E922C8">
        <w:rPr>
          <w:rFonts w:ascii="Times New Roman" w:hAnsi="Times New Roman"/>
          <w:color w:val="404040" w:themeColor="text1" w:themeTint="BF"/>
        </w:rPr>
        <w:t xml:space="preserve"> belirtilen raporda yer alan veriler üzerinden ve gerekirse Genel Müdürlükçe uygun görülecek ilave incelemeler sonucunda ayrıca tevsik edilmesi gerekir. </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Yetkilendirilmiş yükümlü sertifikası başvurusu için aranacak emniyet ve güvenlik koşulu</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Başvuru sahibinin uygun emniyet ve güvenlik standartlarına sahip bulunduğunun kabul edilmesi için Bakanlıkça yapılacak inceleme ve bu inceleme sonuçlarını değerlendirmeye yönelik kurulan sistem kapsamında yapılacak puanlama sonucunda aşağıdaki koşulların yeterli düzeyde sağlanmış olduğunun tevsik edilmiş olması gerekir.</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Yetkilendirilmiş yükümlü sertifikası kapsamındaki faaliyetlerle ilgili olarak kullanılacak binaların izinsiz giriş ve sızmaları önleyecek nitelikte olması ve tesislere ilişkin genel güvenlik tedbirlerini almış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Yükleme yerlerine, sevkiyat sahalarına, kargo bölümlerine ve taşıma araçlarına yetkisiz girişleri önlemek üzere uygun erişim kontrol tedbirlerini almış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Herhangi bir eşyanın değiştirilmesini, kaybını veya yabancı eşya eklenmesini önleyecek tedbirler ile yükleme ve depolama alanlarında serbest dolaşımda olan ve olmayan eşyanın ayırt edilebilmesini sağlayacak tedbirleri almış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Eşyanın depolanması, boşaltılması, muayenesi ve eşyadan numune alınabilmesi için gerekli teçhizat ve donanım ile uygun bir ortam sağlamış ve eşyanın konulması için uygun görülen yerleri gümrüğün denetimini kolaylaştıracak şekilde düzenlemiş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Yasaklama ve kısıtlamalara tabi eşya söz konusu ise, bunlara ilişkin ithalat ve/veya ihracat lisanslarıyla ilgili işlemleri takip edecek ve bu kapsamdaki eşyayı diğer eşyadan ayıracak bir iş akışını oluşturmuş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Uluslararası arz zincirinin güvenilirliğinden emin olunmasını sağlamak amacıyla, iş yaptığı kişi ve firmaların kimliklerinin açıkça tespit edilmesi ve bu kişi ve firmaların uygun emniyet ve güvenlik tedbirleri aldıklarının kontrolüne yönelik önlemleri almış olmak.</w:t>
      </w:r>
    </w:p>
    <w:p w:rsidR="00B52191" w:rsidRPr="00E922C8"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Mevzuatın izin verdiği ölçüde, güvenlik açısından hassas pozisyonlarda görev yapacak çalışanları hakkında işe başlama öncesi ve sonrasında periyodik olarak güvenlik araştırması yapıyor ve firmada çalışanlardan kaynaklı ortaya çıkabilecek risklere karşı güvenlik tedbirleri alıyor olmak.</w:t>
      </w:r>
    </w:p>
    <w:p w:rsidR="00B52191" w:rsidRDefault="00B52191" w:rsidP="00B52191">
      <w:pPr>
        <w:spacing w:line="360" w:lineRule="auto"/>
        <w:jc w:val="both"/>
        <w:rPr>
          <w:rFonts w:ascii="Times New Roman" w:hAnsi="Times New Roman"/>
          <w:color w:val="404040" w:themeColor="text1" w:themeTint="BF"/>
        </w:rPr>
      </w:pPr>
      <w:r w:rsidRPr="00E922C8">
        <w:rPr>
          <w:rFonts w:ascii="Times New Roman" w:hAnsi="Times New Roman"/>
          <w:color w:val="404040" w:themeColor="text1" w:themeTint="BF"/>
        </w:rPr>
        <w:t xml:space="preserve"> İlgili personelinin arz zinciri güvenliği ile ilgili eğitim programlarına aktif olarak katılımını sağlamak.</w:t>
      </w:r>
    </w:p>
    <w:p w:rsidR="007A7698" w:rsidRPr="007A7698" w:rsidRDefault="007A7698" w:rsidP="00B52191">
      <w:pPr>
        <w:spacing w:line="360" w:lineRule="auto"/>
        <w:jc w:val="both"/>
        <w:rPr>
          <w:rFonts w:ascii="Times New Roman" w:hAnsi="Times New Roman"/>
          <w:color w:val="FF0000"/>
        </w:rPr>
      </w:pPr>
      <w:r w:rsidRPr="007A7698">
        <w:rPr>
          <w:color w:val="FF0000"/>
        </w:rPr>
        <w:lastRenderedPageBreak/>
        <w:t xml:space="preserve"> Avrupa Akreditasyon Birliğinin karşılıklı tanıma anlaşmalarına imza atmış akreditasyon kurumları tarafından akredite edilmiş uygunluk değerlendirme kuruluşlarınca düzenlenecek ve akreditasyon kurumunun markasını taşıyan güncel ISO 9001 ve ISO 27001 sertifikalarının aslı veya düzenleyen kuruluş tarafından onaylı örneği. düzenleyen kuruluşun veri tabanı üzerinden elektronik olarak kontrol edilebilmeleri şartıyla, elektronik ortamda oluşturulmuş örnekleri asıl nüsha veya kâğıt ortamındaki örneği yerine kabul edilebilir. ISO 9001 sertifikası, başvuru sahibinin dış ticaret, gümrükleme, yönetim ve idari organizasyon faaliyetleri ile bu faaliyetlerle ilişkili işlemlerini ve bunlara bağlı üretim ve hizmet sunumlarını,  ISO 27001 sertifikası; ithalat, ihracat, transit, gümrükleme gibi gümrük ve dış ticaret işlemlerini kapsamalı.</w:t>
      </w:r>
    </w:p>
    <w:p w:rsidR="00B52191"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autoSpaceDE w:val="0"/>
        <w:autoSpaceDN w:val="0"/>
        <w:adjustRightInd w:val="0"/>
        <w:spacing w:after="0" w:line="360" w:lineRule="auto"/>
        <w:jc w:val="both"/>
        <w:rPr>
          <w:rFonts w:ascii="Times New Roman" w:hAnsi="Times New Roman"/>
          <w:b/>
          <w:bCs/>
        </w:rPr>
      </w:pP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921CF6" w:rsidRDefault="00B52191" w:rsidP="00B52191">
      <w:pPr>
        <w:autoSpaceDE w:val="0"/>
        <w:autoSpaceDN w:val="0"/>
        <w:adjustRightInd w:val="0"/>
        <w:spacing w:after="0" w:line="360" w:lineRule="auto"/>
        <w:jc w:val="both"/>
        <w:rPr>
          <w:rFonts w:ascii="Times New Roman" w:hAnsi="Times New Roman"/>
        </w:rPr>
      </w:pPr>
    </w:p>
    <w:p w:rsidR="00B52191" w:rsidRPr="00E922C8" w:rsidRDefault="00B52191" w:rsidP="00B52191">
      <w:pPr>
        <w:autoSpaceDE w:val="0"/>
        <w:autoSpaceDN w:val="0"/>
        <w:adjustRightInd w:val="0"/>
        <w:spacing w:after="0" w:line="360" w:lineRule="auto"/>
        <w:jc w:val="both"/>
        <w:rPr>
          <w:rFonts w:ascii="Times New Roman" w:hAnsi="Times New Roman"/>
          <w:color w:val="FF0000"/>
        </w:rPr>
      </w:pPr>
    </w:p>
    <w:p w:rsidR="00B52191" w:rsidRPr="00E922C8" w:rsidRDefault="00B52191" w:rsidP="00B52191">
      <w:pPr>
        <w:autoSpaceDE w:val="0"/>
        <w:autoSpaceDN w:val="0"/>
        <w:adjustRightInd w:val="0"/>
        <w:spacing w:after="0" w:line="360" w:lineRule="auto"/>
        <w:jc w:val="both"/>
        <w:rPr>
          <w:rFonts w:ascii="Times New Roman" w:hAnsi="Times New Roman"/>
          <w:color w:val="FF0000"/>
        </w:rPr>
      </w:pPr>
    </w:p>
    <w:p w:rsidR="00B52191" w:rsidRPr="00E922C8" w:rsidRDefault="00B52191" w:rsidP="00B52191">
      <w:pPr>
        <w:autoSpaceDE w:val="0"/>
        <w:autoSpaceDN w:val="0"/>
        <w:adjustRightInd w:val="0"/>
        <w:spacing w:after="0" w:line="360" w:lineRule="auto"/>
        <w:jc w:val="both"/>
        <w:rPr>
          <w:rFonts w:ascii="Times New Roman" w:hAnsi="Times New Roman"/>
          <w:color w:val="FF0000"/>
        </w:rPr>
      </w:pPr>
    </w:p>
    <w:p w:rsidR="00B52191" w:rsidRPr="00E922C8" w:rsidRDefault="00B52191" w:rsidP="00B52191">
      <w:pPr>
        <w:autoSpaceDE w:val="0"/>
        <w:autoSpaceDN w:val="0"/>
        <w:adjustRightInd w:val="0"/>
        <w:spacing w:after="0" w:line="360" w:lineRule="auto"/>
        <w:jc w:val="both"/>
        <w:rPr>
          <w:rFonts w:ascii="Times New Roman" w:hAnsi="Times New Roman"/>
          <w:b/>
          <w:bCs/>
          <w:color w:val="FF0000"/>
        </w:rPr>
      </w:pPr>
    </w:p>
    <w:p w:rsidR="00B52191" w:rsidRPr="00E922C8" w:rsidRDefault="00B52191" w:rsidP="00B52191">
      <w:pPr>
        <w:autoSpaceDE w:val="0"/>
        <w:autoSpaceDN w:val="0"/>
        <w:adjustRightInd w:val="0"/>
        <w:spacing w:after="0" w:line="360" w:lineRule="auto"/>
        <w:jc w:val="both"/>
        <w:rPr>
          <w:rFonts w:ascii="Times New Roman" w:hAnsi="Times New Roman"/>
          <w:color w:val="FF0000"/>
        </w:rPr>
      </w:pPr>
    </w:p>
    <w:sectPr w:rsidR="00B52191" w:rsidRPr="00E922C8" w:rsidSect="002B4ED8">
      <w:pgSz w:w="11906" w:h="16838"/>
      <w:pgMar w:top="89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33F8"/>
    <w:multiLevelType w:val="hybridMultilevel"/>
    <w:tmpl w:val="F14CAC62"/>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58B27DF"/>
    <w:multiLevelType w:val="hybridMultilevel"/>
    <w:tmpl w:val="A4FE35B6"/>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nsid w:val="1CA06EB8"/>
    <w:multiLevelType w:val="hybridMultilevel"/>
    <w:tmpl w:val="D06AF800"/>
    <w:lvl w:ilvl="0" w:tplc="041F0019">
      <w:start w:val="1"/>
      <w:numFmt w:val="lowerLetter"/>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nsid w:val="27952AB8"/>
    <w:multiLevelType w:val="hybridMultilevel"/>
    <w:tmpl w:val="B9766180"/>
    <w:lvl w:ilvl="0" w:tplc="041F000F">
      <w:start w:val="1"/>
      <w:numFmt w:val="decimal"/>
      <w:lvlText w:val="%1."/>
      <w:lvlJc w:val="left"/>
      <w:pPr>
        <w:tabs>
          <w:tab w:val="num" w:pos="720"/>
        </w:tabs>
        <w:ind w:left="720" w:hanging="360"/>
      </w:pPr>
      <w:rPr>
        <w:rFonts w:cs="Times New Roman"/>
      </w:rPr>
    </w:lvl>
    <w:lvl w:ilvl="1" w:tplc="D4CAF26A">
      <w:start w:val="1"/>
      <w:numFmt w:val="lowerLetter"/>
      <w:lvlText w:val="%2)"/>
      <w:lvlJc w:val="left"/>
      <w:pPr>
        <w:tabs>
          <w:tab w:val="num" w:pos="1440"/>
        </w:tabs>
        <w:ind w:left="1440" w:hanging="360"/>
      </w:pPr>
      <w:rPr>
        <w:rFonts w:cs="Times New Roman" w:hint="default"/>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27E12DBE"/>
    <w:multiLevelType w:val="hybridMultilevel"/>
    <w:tmpl w:val="F5C6768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B34031E"/>
    <w:multiLevelType w:val="hybridMultilevel"/>
    <w:tmpl w:val="A98C003E"/>
    <w:lvl w:ilvl="0" w:tplc="041F000F">
      <w:start w:val="1"/>
      <w:numFmt w:val="decimal"/>
      <w:lvlText w:val="%1."/>
      <w:lvlJc w:val="left"/>
      <w:pPr>
        <w:tabs>
          <w:tab w:val="num" w:pos="720"/>
        </w:tabs>
        <w:ind w:left="720" w:hanging="360"/>
      </w:pPr>
      <w:rPr>
        <w:rFonts w:cs="Times New Roman" w:hint="default"/>
      </w:rPr>
    </w:lvl>
    <w:lvl w:ilvl="1" w:tplc="7B481BA4">
      <w:start w:val="4"/>
      <w:numFmt w:val="bullet"/>
      <w:lvlText w:val="-"/>
      <w:lvlJc w:val="left"/>
      <w:pPr>
        <w:tabs>
          <w:tab w:val="num" w:pos="1440"/>
        </w:tabs>
        <w:ind w:left="1440" w:hanging="360"/>
      </w:pPr>
      <w:rPr>
        <w:rFonts w:ascii="Times New Roman" w:eastAsia="Times New Roman" w:hAnsi="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8803C99"/>
    <w:multiLevelType w:val="multilevel"/>
    <w:tmpl w:val="041F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7B9D169D"/>
    <w:multiLevelType w:val="hybridMultilevel"/>
    <w:tmpl w:val="73866F2A"/>
    <w:lvl w:ilvl="0" w:tplc="041F0019">
      <w:start w:val="1"/>
      <w:numFmt w:val="lowerLetter"/>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rsids>
    <w:rsidRoot w:val="007573C9"/>
    <w:rsid w:val="000C0CBD"/>
    <w:rsid w:val="00171CD0"/>
    <w:rsid w:val="00750CD7"/>
    <w:rsid w:val="0075158C"/>
    <w:rsid w:val="007573C9"/>
    <w:rsid w:val="007A7698"/>
    <w:rsid w:val="008805FC"/>
    <w:rsid w:val="00B52191"/>
    <w:rsid w:val="00CC1628"/>
    <w:rsid w:val="00D6751F"/>
    <w:rsid w:val="00DF3C1C"/>
    <w:rsid w:val="00E922C8"/>
    <w:rsid w:val="00F812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C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2568</Words>
  <Characters>14644</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W7</cp:lastModifiedBy>
  <cp:revision>5</cp:revision>
  <dcterms:created xsi:type="dcterms:W3CDTF">2016-03-31T10:22:00Z</dcterms:created>
  <dcterms:modified xsi:type="dcterms:W3CDTF">2016-03-31T11:01:00Z</dcterms:modified>
</cp:coreProperties>
</file>